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sidRPr="001552FC">
        <w:rPr>
          <w:rStyle w:val="CommentReference"/>
          <w:rFonts w:ascii="Arial" w:hAnsi="Arial" w:cs="Arial"/>
          <w:sz w:val="20"/>
          <w:szCs w:val="20"/>
          <w:lang w:val="en-GB"/>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rFonts w:ascii="Arial" w:hAnsi="Arial" w:cs="Arial"/>
          <w:sz w:val="20"/>
          <w:szCs w:val="20"/>
          <w:lang w:val="en-GB"/>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Stichting Life Sciences Health – TKI (also acting under its trade name </w:t>
      </w:r>
      <w:proofErr w:type="spellStart"/>
      <w:r w:rsidRPr="001552FC">
        <w:rPr>
          <w:rFonts w:ascii="Arial" w:hAnsi="Arial" w:cs="Arial"/>
          <w:lang w:val="en-GB"/>
        </w:rPr>
        <w:t>Health~Holland</w:t>
      </w:r>
      <w:proofErr w:type="spellEnd"/>
      <w:r w:rsidRPr="001552FC">
        <w:rPr>
          <w:rFonts w:ascii="Arial" w:hAnsi="Arial" w:cs="Arial"/>
          <w:lang w:val="en-GB"/>
        </w:rPr>
        <w:t>,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Stichting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stParagraph"/>
        <w:rPr>
          <w:rFonts w:ascii="Arial" w:hAnsi="Arial" w:cs="Arial"/>
        </w:rPr>
      </w:pPr>
    </w:p>
    <w:p w14:paraId="0D4A1AE8" w14:textId="02589777" w:rsidR="00973DC3" w:rsidRPr="0045505E" w:rsidRDefault="00973DC3" w:rsidP="0045505E">
      <w:pPr>
        <w:pStyle w:val="ListParagraph"/>
        <w:numPr>
          <w:ilvl w:val="0"/>
          <w:numId w:val="32"/>
        </w:numPr>
        <w:spacing w:after="120" w:line="276" w:lineRule="auto"/>
        <w:jc w:val="both"/>
        <w:rPr>
          <w:rFonts w:ascii="Arial" w:hAnsi="Arial" w:cs="Arial"/>
        </w:rPr>
      </w:pPr>
      <w:r w:rsidRPr="00973DC3">
        <w:rPr>
          <w:rFonts w:ascii="Arial" w:hAnsi="Arial" w:cs="Arial"/>
          <w:lang w:val="en-US"/>
        </w:rPr>
        <w:t xml:space="preserve">Stichting LSH-TKI has given the PPP Program </w:t>
      </w:r>
      <w:r w:rsidRPr="00B93D54">
        <w:rPr>
          <w:rFonts w:ascii="Arial" w:hAnsi="Arial" w:cs="Arial"/>
          <w:highlight w:val="yellow"/>
          <w:lang w:val="en-US"/>
        </w:rPr>
        <w:t>[name program]</w:t>
      </w:r>
      <w:r w:rsidRPr="00973DC3">
        <w:rPr>
          <w:rFonts w:ascii="Arial" w:hAnsi="Arial" w:cs="Arial"/>
          <w:lang w:val="en-US"/>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stParagraph"/>
        <w:spacing w:after="120" w:line="276" w:lineRule="auto"/>
        <w:jc w:val="both"/>
        <w:rPr>
          <w:rFonts w:ascii="Arial" w:hAnsi="Arial" w:cs="Arial"/>
        </w:rPr>
      </w:pPr>
    </w:p>
    <w:p w14:paraId="433FB89E" w14:textId="3E6FC87D" w:rsidR="0045505E" w:rsidRDefault="00163F9E" w:rsidP="0045505E">
      <w:pPr>
        <w:pStyle w:val="ListParagraph"/>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within the scope of the PPP Program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stParagraph"/>
        <w:spacing w:after="120" w:line="276" w:lineRule="auto"/>
        <w:jc w:val="both"/>
        <w:rPr>
          <w:rFonts w:ascii="Arial" w:hAnsi="Arial" w:cs="Arial"/>
          <w:lang w:val="en-US"/>
        </w:rPr>
      </w:pPr>
    </w:p>
    <w:p w14:paraId="20BD868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lastRenderedPageBreak/>
        <w:t>The Participants agree that in case the PPP Program, or by extension, Stichting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048DF996" w:rsidR="000F687C" w:rsidRDefault="000F687C"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(i)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stParagraph"/>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77777777" w:rsidR="0088499F"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Program” </w:t>
      </w:r>
      <w:r w:rsidRPr="008A21B7">
        <w:rPr>
          <w:rFonts w:ascii="Arial" w:hAnsi="Arial" w:cs="Arial"/>
          <w:color w:val="000000"/>
          <w:lang w:val="en-GB"/>
        </w:rPr>
        <w:t xml:space="preserve">means </w:t>
      </w:r>
      <w:r w:rsidRPr="00B81CF7">
        <w:rPr>
          <w:rFonts w:ascii="Arial" w:hAnsi="Arial" w:cs="Arial"/>
          <w:color w:val="000000"/>
          <w:highlight w:val="yellow"/>
          <w:lang w:val="en-GB"/>
        </w:rPr>
        <w:t>[description of the PPP Program]</w:t>
      </w:r>
    </w:p>
    <w:p w14:paraId="79984B14" w14:textId="77777777" w:rsidR="0088499F" w:rsidRPr="00F80212" w:rsidRDefault="0088499F" w:rsidP="38F9C711">
      <w:pPr>
        <w:pStyle w:val="ListParagraph"/>
        <w:numPr>
          <w:ilvl w:val="1"/>
          <w:numId w:val="33"/>
        </w:numPr>
        <w:spacing w:before="120" w:after="120" w:line="276" w:lineRule="auto"/>
        <w:ind w:left="851" w:right="44" w:hanging="851"/>
        <w:contextualSpacing w:val="0"/>
        <w:jc w:val="both"/>
        <w:rPr>
          <w:rFonts w:ascii="Arial" w:hAnsi="Arial" w:cs="Arial"/>
          <w:b/>
          <w:bCs/>
          <w:color w:val="000000"/>
        </w:rPr>
      </w:pPr>
      <w:r w:rsidRPr="38F9C711">
        <w:rPr>
          <w:rFonts w:ascii="Arial" w:hAnsi="Arial" w:cs="Arial"/>
          <w:b/>
          <w:bCs/>
          <w:color w:val="000000" w:themeColor="text1"/>
        </w:rPr>
        <w:t xml:space="preserve">“PPP Program Partners” </w:t>
      </w:r>
      <w:r w:rsidRPr="38F9C711">
        <w:rPr>
          <w:rFonts w:ascii="Arial" w:hAnsi="Arial" w:cs="Arial"/>
          <w:color w:val="000000" w:themeColor="text1"/>
        </w:rPr>
        <w:t>means the partners of the PPP Program as mentioned in the Grant Letter who have been given the opportunity by Stichting LSH-TKI to award PPP Subsidy to projects within the context of the PPP Program. For clarity, in the Grant Letter the PPP Program Partners are referred to as ‘</w:t>
      </w:r>
      <w:proofErr w:type="spellStart"/>
      <w:r w:rsidRPr="38F9C711">
        <w:rPr>
          <w:rFonts w:ascii="Arial" w:hAnsi="Arial" w:cs="Arial"/>
          <w:i/>
          <w:iCs/>
          <w:color w:val="000000" w:themeColor="text1"/>
        </w:rPr>
        <w:t>Programmagroep</w:t>
      </w:r>
      <w:proofErr w:type="spellEnd"/>
      <w:r w:rsidRPr="38F9C711">
        <w:rPr>
          <w:rFonts w:ascii="Arial" w:hAnsi="Arial" w:cs="Arial"/>
          <w:color w:val="000000" w:themeColor="text1"/>
        </w:rPr>
        <w:t>’;</w:t>
      </w:r>
    </w:p>
    <w:p w14:paraId="62852990" w14:textId="77777777" w:rsidR="0088499F" w:rsidRPr="00F80212"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 xml:space="preserve">he Stichting Life Sciences and Health, also acting under its trade name </w:t>
      </w:r>
      <w:proofErr w:type="spellStart"/>
      <w:r w:rsidRPr="002B06C8">
        <w:rPr>
          <w:rFonts w:ascii="Arial" w:hAnsi="Arial" w:cs="Arial"/>
          <w:lang w:val="en-GB"/>
        </w:rPr>
        <w:t>Health~Holland</w:t>
      </w:r>
      <w:proofErr w:type="spellEnd"/>
      <w:r w:rsidRPr="002B06C8">
        <w:rPr>
          <w:rFonts w:ascii="Arial" w:hAnsi="Arial" w:cs="Arial"/>
          <w:lang w:val="en-GB"/>
        </w:rPr>
        <w:t xml:space="preserve">,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lastRenderedPageBreak/>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stParagraph"/>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PPP Program, and by extension Stichting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3A4A394A"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AF6448">
        <w:rPr>
          <w:rFonts w:ascii="Arial" w:hAnsi="Arial" w:cs="Arial"/>
          <w:color w:val="000000"/>
          <w:lang w:val="en-GB"/>
        </w:rPr>
        <w:t>.</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56AA77E7" w14:textId="77777777" w:rsidR="009E3671" w:rsidRPr="009E3671" w:rsidRDefault="00163F9E" w:rsidP="009E3671">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w:t>
      </w:r>
      <w:r w:rsidRPr="000E49BE">
        <w:rPr>
          <w:rFonts w:ascii="Arial" w:hAnsi="Arial" w:cs="Arial"/>
          <w:lang w:val="en-GB"/>
        </w:rPr>
        <w:lastRenderedPageBreak/>
        <w:t xml:space="preserve">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2F95D6C0" w14:textId="0BF8F84C" w:rsidR="009E3671" w:rsidRPr="009E3671" w:rsidRDefault="009E3671" w:rsidP="009E3671">
      <w:pPr>
        <w:pStyle w:val="ListParagraph"/>
        <w:spacing w:before="120" w:after="120" w:line="276" w:lineRule="auto"/>
        <w:ind w:left="792" w:right="44"/>
        <w:contextualSpacing w:val="0"/>
        <w:jc w:val="both"/>
        <w:rPr>
          <w:rFonts w:ascii="Arial" w:hAnsi="Arial" w:cs="Arial"/>
          <w:color w:val="000000"/>
          <w:lang w:val="en-GB"/>
        </w:rPr>
      </w:pPr>
      <w:r w:rsidRPr="009E3671">
        <w:rPr>
          <w:rFonts w:ascii="Arial" w:hAnsi="Arial"/>
          <w:color w:val="000000"/>
          <w:lang w:val="en-GB"/>
        </w:rPr>
        <w:t xml:space="preserve">The Project Committee is further entitled to </w:t>
      </w:r>
      <w:r w:rsidRPr="009E3671">
        <w:rPr>
          <w:rFonts w:ascii="Arial" w:hAnsi="Arial" w:cs="Arial"/>
          <w:color w:val="000000"/>
          <w:lang w:val="en-GB"/>
        </w:rPr>
        <w:t xml:space="preserve">declare a Participant a Defaulting Participant in </w:t>
      </w:r>
      <w:r w:rsidRPr="009E3671">
        <w:rPr>
          <w:rFonts w:ascii="Arial" w:hAnsi="Arial" w:cs="Arial"/>
          <w:lang w:val="en-GB"/>
        </w:rPr>
        <w:t>the event that the</w:t>
      </w:r>
      <w:r w:rsidR="009A0563">
        <w:rPr>
          <w:rFonts w:ascii="Arial" w:hAnsi="Arial" w:cs="Arial"/>
          <w:lang w:val="en-GB"/>
        </w:rPr>
        <w:t xml:space="preserve"> </w:t>
      </w:r>
      <w:r w:rsidR="00EE5193">
        <w:rPr>
          <w:rFonts w:ascii="Arial" w:hAnsi="Arial" w:cs="Arial"/>
          <w:lang w:val="en-GB"/>
        </w:rPr>
        <w:t xml:space="preserve">PPP </w:t>
      </w:r>
      <w:r w:rsidR="009A0563">
        <w:rPr>
          <w:rFonts w:ascii="Arial" w:hAnsi="Arial" w:cs="Arial"/>
          <w:lang w:val="en-GB"/>
        </w:rPr>
        <w:t>Program</w:t>
      </w:r>
      <w:r w:rsidR="00EE5193">
        <w:rPr>
          <w:rFonts w:ascii="Arial" w:hAnsi="Arial" w:cs="Arial"/>
          <w:lang w:val="en-GB"/>
        </w:rPr>
        <w:t>, or by extension,</w:t>
      </w:r>
      <w:r w:rsidRPr="009E3671">
        <w:rPr>
          <w:rFonts w:ascii="Arial" w:hAnsi="Arial" w:cs="Arial"/>
          <w:lang w:val="en-GB"/>
        </w:rPr>
        <w:t xml:space="preserve"> Stichting LSH-TKI has terminated that Participant’s participation in accordance with </w:t>
      </w:r>
      <w:r w:rsidRPr="00726819">
        <w:rPr>
          <w:rFonts w:ascii="Arial" w:hAnsi="Arial" w:cs="Arial"/>
          <w:highlight w:val="yellow"/>
          <w:lang w:val="en-GB"/>
        </w:rPr>
        <w:t xml:space="preserve">Section </w:t>
      </w:r>
      <w:r w:rsidR="00EE5193" w:rsidRPr="00726819">
        <w:rPr>
          <w:rFonts w:ascii="Arial" w:hAnsi="Arial" w:cs="Arial"/>
          <w:highlight w:val="yellow"/>
          <w:lang w:val="en-GB"/>
        </w:rPr>
        <w:t>10</w:t>
      </w:r>
      <w:r w:rsidR="00EE5193">
        <w:rPr>
          <w:rFonts w:ascii="Arial" w:hAnsi="Arial" w:cs="Arial"/>
          <w:lang w:val="en-GB"/>
        </w:rPr>
        <w:t xml:space="preserve"> </w:t>
      </w:r>
      <w:r w:rsidRPr="009E3671">
        <w:rPr>
          <w:rFonts w:ascii="Arial" w:hAnsi="Arial" w:cs="Arial"/>
          <w:lang w:val="en-GB"/>
        </w:rPr>
        <w:t xml:space="preserve">of the </w:t>
      </w:r>
      <w:r w:rsidR="00B81F4B">
        <w:rPr>
          <w:rFonts w:ascii="Arial" w:hAnsi="Arial" w:cs="Arial"/>
          <w:lang w:val="en-GB"/>
        </w:rPr>
        <w:t>Grant Letter</w:t>
      </w:r>
      <w:r w:rsidRPr="009E3671">
        <w:rPr>
          <w:rFonts w:ascii="Arial" w:hAnsi="Arial" w:cs="Arial"/>
          <w:lang w:val="en-GB"/>
        </w:rPr>
        <w:t>.</w:t>
      </w:r>
    </w:p>
    <w:p w14:paraId="4C13714A" w14:textId="20EDF6FB" w:rsidR="009E3671"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009E3671" w:rsidRPr="001552FC">
        <w:rPr>
          <w:rFonts w:ascii="Arial" w:hAnsi="Arial" w:cs="Arial"/>
          <w:color w:val="000000"/>
          <w:lang w:val="en-GB"/>
        </w:rPr>
        <w:t xml:space="preserve">A non-Defaulting </w:t>
      </w:r>
      <w:r w:rsidR="009E3671">
        <w:rPr>
          <w:rFonts w:ascii="Arial" w:hAnsi="Arial" w:cs="Arial"/>
          <w:color w:val="000000"/>
          <w:lang w:val="en-GB"/>
        </w:rPr>
        <w:t>Participant</w:t>
      </w:r>
      <w:r w:rsidR="009E3671" w:rsidRPr="001552FC">
        <w:rPr>
          <w:rFonts w:ascii="Arial" w:hAnsi="Arial" w:cs="Arial"/>
          <w:color w:val="000000"/>
          <w:lang w:val="en-GB"/>
        </w:rPr>
        <w:t xml:space="preserve"> </w:t>
      </w:r>
      <w:r w:rsidR="009E3671">
        <w:rPr>
          <w:rFonts w:ascii="Arial" w:hAnsi="Arial" w:cs="Arial"/>
          <w:color w:val="000000"/>
          <w:lang w:val="en-GB"/>
        </w:rPr>
        <w:t>may request the Project Committee to terminate its participation in the Project and to this Consortium Agreement. The Project Committee will decide on such request in accordance with Section 6.5 and may, as a condition for approving such request, impose reasonable requirements on the departing Participant, including but not limited to the settlement of outstanding obligations and the transfer of tasks to the remaining Participants.</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3AD2A33"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406B97E5"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the PPP Program or, by extension,</w:t>
      </w:r>
      <w:r w:rsidRPr="004B1458">
        <w:rPr>
          <w:rFonts w:ascii="Arial" w:hAnsi="Arial" w:cs="Arial"/>
          <w:color w:val="000000"/>
          <w:lang w:val="en-GB"/>
        </w:rPr>
        <w:t xml:space="preserve"> Stichting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herein, shall repay the PPP Subsidy required by the PPP Program and/or the Stichting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w:t>
      </w:r>
      <w:r w:rsidR="009E3671">
        <w:rPr>
          <w:rFonts w:ascii="Arial" w:hAnsi="Arial" w:cs="Arial"/>
          <w:color w:val="000000"/>
          <w:lang w:val="en-GB"/>
        </w:rPr>
        <w:t>6</w:t>
      </w:r>
      <w:r w:rsidRPr="007E02CA">
        <w:rPr>
          <w:rFonts w:ascii="Arial" w:hAnsi="Arial" w:cs="Arial"/>
          <w:color w:val="000000"/>
          <w:lang w:val="en-GB"/>
        </w:rPr>
        <w:t xml:space="preserve">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lastRenderedPageBreak/>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794CD8AD"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w:t>
      </w:r>
      <w:r w:rsidR="009E3671">
        <w:rPr>
          <w:rFonts w:ascii="Arial" w:hAnsi="Arial"/>
          <w:lang w:val="en-GB"/>
        </w:rPr>
        <w:t xml:space="preserve">an equal amount to </w:t>
      </w:r>
      <w:r w:rsidRPr="000E2AB0">
        <w:rPr>
          <w:rFonts w:ascii="Arial" w:hAnsi="Arial"/>
          <w:lang w:val="en-GB"/>
        </w:rPr>
        <w:t xml:space="preserve">the </w:t>
      </w:r>
      <w:r w:rsidR="00FD2425">
        <w:rPr>
          <w:rFonts w:ascii="Arial" w:hAnsi="Arial"/>
          <w:lang w:val="en-GB"/>
        </w:rPr>
        <w:t>Participant</w:t>
      </w:r>
      <w:r w:rsidRPr="000E2AB0">
        <w:rPr>
          <w:rFonts w:ascii="Arial" w:hAnsi="Arial"/>
          <w:lang w:val="en-GB"/>
        </w:rPr>
        <w:t xml:space="preserve">’s </w:t>
      </w:r>
      <w:r w:rsidR="009E3671">
        <w:rPr>
          <w:rFonts w:ascii="Arial" w:hAnsi="Arial"/>
          <w:lang w:val="en-GB"/>
        </w:rPr>
        <w:t xml:space="preserve">total </w:t>
      </w:r>
      <w:r w:rsidRPr="000E2AB0">
        <w:rPr>
          <w:rFonts w:ascii="Arial" w:hAnsi="Arial"/>
          <w:lang w:val="en-GB"/>
        </w:rPr>
        <w:t>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lastRenderedPageBreak/>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464EA07A" w14:textId="77777777" w:rsidR="009E3671" w:rsidRPr="001552FC" w:rsidRDefault="009E3671" w:rsidP="009E3671">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voluntary </w:t>
      </w: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w:t>
      </w:r>
      <w:r>
        <w:rPr>
          <w:rFonts w:ascii="Arial" w:hAnsi="Arial" w:cs="Arial"/>
          <w:color w:val="000000"/>
          <w:lang w:val="en-GB"/>
        </w:rPr>
        <w:t xml:space="preserve">and the request for termination of the participation of such Participant to this Consortium Agreement, </w:t>
      </w:r>
      <w:r w:rsidRPr="001552FC">
        <w:rPr>
          <w:rFonts w:ascii="Arial" w:hAnsi="Arial" w:cs="Arial"/>
          <w:color w:val="000000"/>
          <w:lang w:val="en-GB"/>
        </w:rPr>
        <w:t>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0BF22005" w:rsidR="00163F9E" w:rsidRPr="009E6721" w:rsidRDefault="004A1E3C"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(i)(j),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9E3671">
        <w:rPr>
          <w:rFonts w:ascii="Arial" w:hAnsi="Arial" w:cs="Arial"/>
          <w:color w:val="000000"/>
          <w:lang w:val="en-GB"/>
        </w:rPr>
        <w:t xml:space="preserve">6.3 and </w:t>
      </w:r>
      <w:r w:rsidR="00163F9E" w:rsidRPr="009E6721">
        <w:rPr>
          <w:rFonts w:ascii="Arial" w:hAnsi="Arial" w:cs="Arial"/>
          <w:color w:val="000000"/>
          <w:lang w:val="en-GB"/>
        </w:rPr>
        <w:t>6.4.</w:t>
      </w:r>
    </w:p>
    <w:p w14:paraId="2EF9CCDA" w14:textId="574F5C69"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1D403A29"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6540BD9A"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w:t>
      </w:r>
      <w:r w:rsidRPr="007E0878">
        <w:rPr>
          <w:rFonts w:ascii="Arial" w:hAnsi="Arial" w:cs="Arial"/>
          <w:lang w:val="en-GB"/>
        </w:rPr>
        <w:lastRenderedPageBreak/>
        <w:t>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9E3671">
        <w:rPr>
          <w:rStyle w:val="CommentReference"/>
          <w:rFonts w:ascii="Arial" w:hAnsi="Arial" w:cs="Arial"/>
          <w:bCs/>
          <w:sz w:val="20"/>
          <w:szCs w:val="20"/>
          <w:lang w:val="en-GB"/>
        </w:rPr>
        <w:commentReference w:id="6"/>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stParagraph"/>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(i)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(i),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215ED2D9"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w:t>
      </w:r>
      <w:r w:rsidR="009E3671">
        <w:rPr>
          <w:rFonts w:ascii="Arial" w:hAnsi="Arial" w:cs="Arial"/>
          <w:bCs/>
          <w:lang w:val="en-GB"/>
        </w:rPr>
        <w:t>may</w:t>
      </w:r>
      <w:r>
        <w:rPr>
          <w:rFonts w:ascii="Arial" w:hAnsi="Arial" w:cs="Arial"/>
          <w:bCs/>
          <w:lang w:val="en-GB"/>
        </w:rPr>
        <w:t xml:space="preserve"> exercise the Option Right jointly, unless otherwise agreed between them. </w:t>
      </w:r>
    </w:p>
    <w:p w14:paraId="1AFCE199" w14:textId="1B20AD77" w:rsidR="0083302E" w:rsidRPr="00EC5D92"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during the course of the Project and until </w:t>
      </w:r>
      <w:r w:rsidR="009E3671">
        <w:rPr>
          <w:rFonts w:ascii="Arial" w:hAnsi="Arial" w:cs="Arial"/>
          <w:bCs/>
          <w:lang w:val="en-GB"/>
        </w:rPr>
        <w:t>[</w:t>
      </w:r>
      <w:r w:rsidR="009E3671" w:rsidRPr="009E3671">
        <w:rPr>
          <w:rFonts w:ascii="Arial" w:hAnsi="Arial" w:cs="Arial"/>
          <w:bCs/>
          <w:highlight w:val="yellow"/>
          <w:lang w:val="en-GB"/>
        </w:rPr>
        <w:t>6 (</w:t>
      </w:r>
      <w:r w:rsidRPr="009E3671">
        <w:rPr>
          <w:rFonts w:ascii="Arial" w:hAnsi="Arial" w:cs="Arial"/>
          <w:bCs/>
          <w:highlight w:val="yellow"/>
          <w:lang w:val="en-GB"/>
        </w:rPr>
        <w:t>six</w:t>
      </w:r>
      <w:r w:rsidR="009E3671" w:rsidRPr="009E3671">
        <w:rPr>
          <w:rFonts w:ascii="Arial" w:hAnsi="Arial" w:cs="Arial"/>
          <w:bCs/>
          <w:highlight w:val="yellow"/>
          <w:lang w:val="en-GB"/>
        </w:rPr>
        <w:t>)</w:t>
      </w:r>
      <w:r w:rsidRPr="009E3671">
        <w:rPr>
          <w:rFonts w:ascii="Arial" w:hAnsi="Arial" w:cs="Arial"/>
          <w:bCs/>
          <w:highlight w:val="yellow"/>
          <w:lang w:val="en-GB"/>
        </w:rPr>
        <w:t xml:space="preserve"> months</w:t>
      </w:r>
      <w:r w:rsidR="009E3671">
        <w:rPr>
          <w:rFonts w:ascii="Arial" w:hAnsi="Arial" w:cs="Arial"/>
          <w:bCs/>
          <w:lang w:val="en-GB"/>
        </w:rPr>
        <w:t>]</w:t>
      </w:r>
      <w:r>
        <w:rPr>
          <w:rFonts w:ascii="Arial" w:hAnsi="Arial" w:cs="Arial"/>
          <w:bCs/>
          <w:lang w:val="en-GB"/>
        </w:rPr>
        <w:t xml:space="preserve">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w:t>
      </w:r>
      <w:r w:rsidRPr="00301285">
        <w:rPr>
          <w:rFonts w:ascii="Arial" w:hAnsi="Arial" w:cs="Arial"/>
          <w:lang w:val="en-GB"/>
        </w:rPr>
        <w:lastRenderedPageBreak/>
        <w:t>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20839BC6"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sidR="009E3671">
        <w:rPr>
          <w:rFonts w:ascii="Arial" w:hAnsi="Arial" w:cs="Arial"/>
          <w:lang w:val="en-GB"/>
        </w:rPr>
        <w:t>party</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9E3671">
        <w:rPr>
          <w:rStyle w:val="CommentReference"/>
          <w:rFonts w:ascii="Arial" w:hAnsi="Arial" w:cs="Arial"/>
          <w:bCs/>
          <w:sz w:val="20"/>
          <w:szCs w:val="20"/>
          <w:lang w:val="en-GB"/>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04F570A2"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w:t>
      </w:r>
      <w:r w:rsidRPr="009E3671">
        <w:rPr>
          <w:rFonts w:ascii="Arial" w:hAnsi="Arial" w:cs="Arial"/>
          <w:i/>
          <w:iCs/>
          <w:highlight w:val="yellow"/>
        </w:rPr>
        <w:t>reflected</w:t>
      </w:r>
      <w:r w:rsidR="009E3671" w:rsidRPr="009E3671">
        <w:rPr>
          <w:rFonts w:ascii="Arial" w:hAnsi="Arial" w:cs="Arial"/>
          <w:highlight w:val="yellow"/>
        </w:rPr>
        <w:t xml:space="preserve">. </w:t>
      </w:r>
      <w:r w:rsidR="009E3671" w:rsidRPr="009E3671">
        <w:rPr>
          <w:rFonts w:ascii="Arial" w:hAnsi="Arial" w:cs="Arial"/>
          <w:i/>
          <w:iCs/>
          <w:highlight w:val="yellow"/>
        </w:rPr>
        <w:t>Including</w:t>
      </w:r>
      <w:r w:rsidR="009E3671" w:rsidRPr="00A050DB">
        <w:rPr>
          <w:rFonts w:ascii="Arial" w:hAnsi="Arial" w:cs="Arial"/>
          <w:i/>
          <w:iCs/>
          <w:highlight w:val="yellow"/>
        </w:rPr>
        <w:t xml:space="preserve">, where applicable, the situation where such Foreground is </w:t>
      </w:r>
      <w:r w:rsidR="009E3671" w:rsidRPr="00A050DB">
        <w:rPr>
          <w:rFonts w:ascii="Arial" w:hAnsi="Arial" w:cs="Arial"/>
          <w:i/>
          <w:iCs/>
          <w:highlight w:val="yellow"/>
        </w:rPr>
        <w:lastRenderedPageBreak/>
        <w:t>generated by the Research Organisation(s) but the corresponding specific costs used for generating the Foreground are borne in full by the Industrial Partner(s).</w:t>
      </w:r>
      <w:r w:rsidR="009E3671" w:rsidRPr="00A050DB">
        <w:rPr>
          <w:rFonts w:ascii="Arial" w:hAnsi="Arial" w:cs="Arial"/>
          <w:highlight w:val="yellow"/>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9E3671">
        <w:rPr>
          <w:rStyle w:val="CommentReference"/>
          <w:rFonts w:ascii="Arial" w:hAnsi="Arial" w:cs="Arial"/>
          <w:bCs/>
          <w:sz w:val="20"/>
          <w:szCs w:val="20"/>
          <w:lang w:val="en-GB"/>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(i)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w:t>
      </w:r>
      <w:r w:rsidR="00A8352C">
        <w:rPr>
          <w:rFonts w:ascii="Arial" w:hAnsi="Arial" w:cs="Arial"/>
          <w:color w:val="000000"/>
          <w:lang w:val="en-GB"/>
        </w:rPr>
        <w:lastRenderedPageBreak/>
        <w:t xml:space="preserve">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 xml:space="preserve">(i)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(i)</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(i)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lastRenderedPageBreak/>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Annebel Hendrix" w:date="2026-03-24T11:23:00Z" w:initials="AH">
    <w:p w14:paraId="4A0BDC3B" w14:textId="77777777" w:rsidR="009E3671" w:rsidRDefault="009E3671" w:rsidP="009E3671">
      <w:r>
        <w:rPr>
          <w:rStyle w:val="CommentReference"/>
        </w:rPr>
        <w:annotationRef/>
      </w:r>
      <w:r>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Pr>
          <w:b/>
          <w:bCs/>
          <w:sz w:val="20"/>
          <w:szCs w:val="20"/>
          <w:highlight w:val="yellow"/>
          <w:u w:val="single"/>
        </w:rPr>
        <w:t>optional</w:t>
      </w:r>
      <w:r>
        <w:rPr>
          <w:sz w:val="20"/>
          <w:szCs w:val="20"/>
          <w:highlight w:val="yellow"/>
        </w:rPr>
        <w:t>. Parties may also choose to delete Section 8.10 and the reference thereto in 8.2.1.</w:t>
      </w:r>
    </w:p>
  </w:comment>
  <w:comment w:id="12" w:author="Annebel Hendrix" w:date="2026-03-24T11:24:00Z" w:initials="AH">
    <w:p w14:paraId="73FBBB5D" w14:textId="77777777" w:rsidR="009E3671" w:rsidRDefault="009E3671" w:rsidP="009E3671">
      <w:r>
        <w:rPr>
          <w:rStyle w:val="CommentReference"/>
        </w:rPr>
        <w:annotationRef/>
      </w:r>
      <w:r>
        <w:rPr>
          <w:sz w:val="20"/>
          <w:szCs w:val="20"/>
          <w:highlight w:val="yellow"/>
        </w:rPr>
        <w:t>See comment at 8.2. This section is optional and may be deleted and replaced by [INTENTIONALLY DELETED</w:t>
      </w:r>
      <w:r>
        <w:rPr>
          <w:sz w:val="20"/>
          <w:szCs w:val="20"/>
        </w:rPr>
        <w:t>]</w:t>
      </w:r>
      <w:r>
        <w:rPr>
          <w:sz w:val="20"/>
          <w:szCs w:val="20"/>
          <w:highlight w:val="yellow"/>
        </w:rPr>
        <w:t>.</w:t>
      </w:r>
    </w:p>
  </w:comment>
  <w:comment w:id="14" w:author="Annebel Hendrix" w:date="2026-03-24T11:24:00Z" w:initials="AH">
    <w:p w14:paraId="4CAB82C8" w14:textId="77777777" w:rsidR="009E3671" w:rsidRDefault="009E3671" w:rsidP="009E3671">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 This section is optional and may be deleted and replaced by [INTENTIONALLY DELETED</w:t>
      </w:r>
      <w:r>
        <w:rPr>
          <w:sz w:val="20"/>
          <w:szCs w:val="20"/>
        </w:rPr>
        <w:t>]</w:t>
      </w:r>
      <w:r>
        <w:rPr>
          <w:sz w:val="20"/>
          <w:szCs w:val="20"/>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4A0BDC3B" w15:done="0"/>
  <w15:commentEx w15:paraId="73FBBB5D" w15:done="0"/>
  <w15:commentEx w15:paraId="4CAB8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1EEFBE88" w16cex:dateUtc="2026-03-24T10:23:00Z"/>
  <w16cex:commentExtensible w16cex:durableId="6FA89DEA" w16cex:dateUtc="2026-03-24T10:24:00Z"/>
  <w16cex:commentExtensible w16cex:durableId="1215EBE9" w16cex:dateUtc="2026-03-24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4A0BDC3B" w16cid:durableId="1EEFBE88"/>
  <w16cid:commentId w16cid:paraId="73FBBB5D" w16cid:durableId="6FA89DEA"/>
  <w16cid:commentId w16cid:paraId="4CAB82C8" w16cid:durableId="1215E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B3B4" w14:textId="77777777" w:rsidR="00BB7C35" w:rsidRDefault="00BB7C35">
      <w:r>
        <w:separator/>
      </w:r>
    </w:p>
  </w:endnote>
  <w:endnote w:type="continuationSeparator" w:id="0">
    <w:p w14:paraId="4E55048C" w14:textId="77777777" w:rsidR="00BB7C35" w:rsidRDefault="00BB7C35">
      <w:r>
        <w:continuationSeparator/>
      </w:r>
    </w:p>
  </w:endnote>
  <w:endnote w:type="continuationNotice" w:id="1">
    <w:p w14:paraId="3BA3B7F3" w14:textId="77777777" w:rsidR="00BB7C35" w:rsidRDefault="00BB7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EC4E" w14:textId="77777777" w:rsidR="00BB7C35" w:rsidRDefault="00BB7C35">
      <w:r>
        <w:separator/>
      </w:r>
    </w:p>
  </w:footnote>
  <w:footnote w:type="continuationSeparator" w:id="0">
    <w:p w14:paraId="7BBA6F04" w14:textId="77777777" w:rsidR="00BB7C35" w:rsidRDefault="00BB7C35">
      <w:r>
        <w:continuationSeparator/>
      </w:r>
    </w:p>
  </w:footnote>
  <w:footnote w:type="continuationNotice" w:id="1">
    <w:p w14:paraId="0B691A14" w14:textId="77777777" w:rsidR="00BB7C35" w:rsidRDefault="00BB7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Annebel Hendrix">
    <w15:presenceInfo w15:providerId="AD" w15:userId="S::Hendrix@health-holland.com::7f080535-ec6f-4d31-ad48-7dd91aecc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F0708"/>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7416A"/>
    <w:rsid w:val="0048236D"/>
    <w:rsid w:val="00484FC3"/>
    <w:rsid w:val="00491778"/>
    <w:rsid w:val="00492B16"/>
    <w:rsid w:val="004936D5"/>
    <w:rsid w:val="0049563B"/>
    <w:rsid w:val="004962F9"/>
    <w:rsid w:val="004972A2"/>
    <w:rsid w:val="00497D31"/>
    <w:rsid w:val="004A1918"/>
    <w:rsid w:val="004A1E3C"/>
    <w:rsid w:val="004A64A9"/>
    <w:rsid w:val="004B1458"/>
    <w:rsid w:val="004B36B8"/>
    <w:rsid w:val="004C09D4"/>
    <w:rsid w:val="004C2A92"/>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D63CA"/>
    <w:rsid w:val="006E1BF6"/>
    <w:rsid w:val="006E57A5"/>
    <w:rsid w:val="006E60CC"/>
    <w:rsid w:val="006F0A51"/>
    <w:rsid w:val="006F1724"/>
    <w:rsid w:val="006F1C83"/>
    <w:rsid w:val="006F656A"/>
    <w:rsid w:val="006F6F12"/>
    <w:rsid w:val="00704826"/>
    <w:rsid w:val="007079FC"/>
    <w:rsid w:val="00726819"/>
    <w:rsid w:val="007276DC"/>
    <w:rsid w:val="007316C1"/>
    <w:rsid w:val="00732C97"/>
    <w:rsid w:val="007342D9"/>
    <w:rsid w:val="00743FEA"/>
    <w:rsid w:val="007502B5"/>
    <w:rsid w:val="00751AFC"/>
    <w:rsid w:val="00757FB8"/>
    <w:rsid w:val="0076066D"/>
    <w:rsid w:val="0076456C"/>
    <w:rsid w:val="00764ED0"/>
    <w:rsid w:val="00795856"/>
    <w:rsid w:val="007B3196"/>
    <w:rsid w:val="007B37CB"/>
    <w:rsid w:val="007B5277"/>
    <w:rsid w:val="007B7D91"/>
    <w:rsid w:val="007C4047"/>
    <w:rsid w:val="007D35FF"/>
    <w:rsid w:val="007D4727"/>
    <w:rsid w:val="007D56A4"/>
    <w:rsid w:val="007D778F"/>
    <w:rsid w:val="007F1062"/>
    <w:rsid w:val="007F144B"/>
    <w:rsid w:val="007F2DBD"/>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90F7E"/>
    <w:rsid w:val="00891717"/>
    <w:rsid w:val="0089332D"/>
    <w:rsid w:val="008B434F"/>
    <w:rsid w:val="008B498A"/>
    <w:rsid w:val="008C57C1"/>
    <w:rsid w:val="008D052E"/>
    <w:rsid w:val="008D0A03"/>
    <w:rsid w:val="008D22DB"/>
    <w:rsid w:val="008D700E"/>
    <w:rsid w:val="008D7524"/>
    <w:rsid w:val="008E49A0"/>
    <w:rsid w:val="008F24C2"/>
    <w:rsid w:val="008F3C10"/>
    <w:rsid w:val="008F5D93"/>
    <w:rsid w:val="008F724D"/>
    <w:rsid w:val="00902253"/>
    <w:rsid w:val="0090450C"/>
    <w:rsid w:val="009177FD"/>
    <w:rsid w:val="0092418E"/>
    <w:rsid w:val="0093100E"/>
    <w:rsid w:val="00933A8E"/>
    <w:rsid w:val="00933F10"/>
    <w:rsid w:val="00942681"/>
    <w:rsid w:val="00947ABE"/>
    <w:rsid w:val="00961DE9"/>
    <w:rsid w:val="009739ED"/>
    <w:rsid w:val="00973DC3"/>
    <w:rsid w:val="00974999"/>
    <w:rsid w:val="009767A6"/>
    <w:rsid w:val="00984370"/>
    <w:rsid w:val="00985D44"/>
    <w:rsid w:val="00985E95"/>
    <w:rsid w:val="00987D6E"/>
    <w:rsid w:val="00997178"/>
    <w:rsid w:val="00997AF3"/>
    <w:rsid w:val="009A02FC"/>
    <w:rsid w:val="009A04A8"/>
    <w:rsid w:val="009A0563"/>
    <w:rsid w:val="009A1B5D"/>
    <w:rsid w:val="009B0491"/>
    <w:rsid w:val="009B1EE6"/>
    <w:rsid w:val="009B7357"/>
    <w:rsid w:val="009C0623"/>
    <w:rsid w:val="009C1875"/>
    <w:rsid w:val="009D1579"/>
    <w:rsid w:val="009D4A9A"/>
    <w:rsid w:val="009E15E8"/>
    <w:rsid w:val="009E1EB5"/>
    <w:rsid w:val="009E2F0D"/>
    <w:rsid w:val="009E3671"/>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81F4B"/>
    <w:rsid w:val="00B93D54"/>
    <w:rsid w:val="00B960FB"/>
    <w:rsid w:val="00B96147"/>
    <w:rsid w:val="00BB5054"/>
    <w:rsid w:val="00BB648A"/>
    <w:rsid w:val="00BB6964"/>
    <w:rsid w:val="00BB731E"/>
    <w:rsid w:val="00BB7C35"/>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90EC8"/>
    <w:rsid w:val="00D93561"/>
    <w:rsid w:val="00D9601E"/>
    <w:rsid w:val="00D97235"/>
    <w:rsid w:val="00DA0257"/>
    <w:rsid w:val="00DA4F77"/>
    <w:rsid w:val="00DB5E83"/>
    <w:rsid w:val="00DC5544"/>
    <w:rsid w:val="00DC5CD0"/>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193"/>
    <w:rsid w:val="00EE565C"/>
    <w:rsid w:val="00EF002D"/>
    <w:rsid w:val="00EF3A5B"/>
    <w:rsid w:val="00EF773F"/>
    <w:rsid w:val="00F00DC4"/>
    <w:rsid w:val="00F07FB2"/>
    <w:rsid w:val="00F124C9"/>
    <w:rsid w:val="00F13ECE"/>
    <w:rsid w:val="00F14D9D"/>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fe3bb0-6b82-4d72-90b9-d2ba60841907" xsi:nil="true"/>
    <lcf76f155ced4ddcb4097134ff3c332f xmlns="ba303091-9ee1-4010-bbd9-a53fdecd7a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A57D533411D044899A5A414988EA9F" ma:contentTypeVersion="18" ma:contentTypeDescription="Een nieuw document maken." ma:contentTypeScope="" ma:versionID="bba6c232076efbf79eaab691df6a4447">
  <xsd:schema xmlns:xsd="http://www.w3.org/2001/XMLSchema" xmlns:xs="http://www.w3.org/2001/XMLSchema" xmlns:p="http://schemas.microsoft.com/office/2006/metadata/properties" xmlns:ns2="ba303091-9ee1-4010-bbd9-a53fdecd7ac2" xmlns:ns3="21fe3bb0-6b82-4d72-90b9-d2ba60841907" targetNamespace="http://schemas.microsoft.com/office/2006/metadata/properties" ma:root="true" ma:fieldsID="96d0f656aed0cdcfc2210f49b3a92e4b" ns2:_="" ns3:_="">
    <xsd:import namespace="ba303091-9ee1-4010-bbd9-a53fdecd7ac2"/>
    <xsd:import namespace="21fe3bb0-6b82-4d72-90b9-d2ba608419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3091-9ee1-4010-bbd9-a53fdecd7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7b4953-9039-4bdc-b7f8-dd32acf8f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e3bb0-6b82-4d72-90b9-d2ba6084190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ed38074-de07-406c-88e6-cd016a885124}" ma:internalName="TaxCatchAll" ma:showField="CatchAllData" ma:web="21fe3bb0-6b82-4d72-90b9-d2ba60841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2.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3.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customXml/itemProps4.xml><?xml version="1.0" encoding="utf-8"?>
<ds:datastoreItem xmlns:ds="http://schemas.openxmlformats.org/officeDocument/2006/customXml" ds:itemID="{3FD1A7B2-36AD-4530-8EAA-FA5FF7E60198}"/>
</file>

<file path=customXml/itemProps5.xml><?xml version="1.0" encoding="utf-8"?>
<ds:datastoreItem xmlns:ds="http://schemas.openxmlformats.org/officeDocument/2006/customXml" ds:itemID="{28E742C5-A6B7-40FD-8DB2-6E60D245D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8775</Words>
  <Characters>50021</Characters>
  <Application>Microsoft Office Word</Application>
  <DocSecurity>0</DocSecurity>
  <Lines>416</Lines>
  <Paragraphs>117</Paragraphs>
  <ScaleCrop>false</ScaleCrop>
  <Company/>
  <LinksUpToDate>false</LinksUpToDate>
  <CharactersWithSpaces>58679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Judith Bia</cp:lastModifiedBy>
  <cp:revision>2</cp:revision>
  <cp:lastPrinted>2019-03-15T01:47:00Z</cp:lastPrinted>
  <dcterms:created xsi:type="dcterms:W3CDTF">2026-04-22T11:59:00Z</dcterms:created>
  <dcterms:modified xsi:type="dcterms:W3CDTF">2026-04-22T11:59:00Z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0x010100F9A57D533411D044899A5A414988EA9F</vt:lpwstr>
  </property>
  <property fmtid="{D5CDD505-2E9C-101B-9397-08002B2CF9AE}" pid="3" name="MediaServiceImageTags">
    <vt:lpwstr/>
  </property>
</Properties>
</file>